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FC5C9" w14:textId="77777777" w:rsidR="00635B3E" w:rsidRDefault="00635B3E"/>
    <w:p w14:paraId="3800AF4C" w14:textId="540A0467" w:rsidR="00635B3E" w:rsidRDefault="00635B3E" w:rsidP="00635B3E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QCA Code – Principle 1 – Establish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a purpose, strategy and business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model which promote long-term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value for </w:t>
      </w:r>
      <w:proofErr w:type="gramStart"/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shareholders</w:t>
      </w:r>
      <w:proofErr w:type="gramEnd"/>
    </w:p>
    <w:p w14:paraId="07C47375" w14:textId="77777777" w:rsidR="00635B3E" w:rsidRDefault="00635B3E" w:rsidP="00635B3E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</w:p>
    <w:p w14:paraId="0C20AB71" w14:textId="6A8F6545" w:rsidR="00635B3E" w:rsidRDefault="00635B3E" w:rsidP="00635B3E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The Board has collective responsibility for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setting the Company’s purpose, strategic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aims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and objectives. </w:t>
      </w:r>
      <w:proofErr w:type="spellStart"/>
      <w:r>
        <w:rPr>
          <w:rFonts w:ascii="Poppins-Regular" w:hAnsi="Poppins-Regular" w:cs="Poppins-Regular"/>
          <w:kern w:val="0"/>
          <w:sz w:val="16"/>
          <w:szCs w:val="16"/>
        </w:rPr>
        <w:t>Serabi’s</w:t>
      </w:r>
      <w:proofErr w:type="spellEnd"/>
      <w:r>
        <w:rPr>
          <w:rFonts w:ascii="Poppins-Regular" w:hAnsi="Poppins-Regular" w:cs="Poppins-Regular"/>
          <w:kern w:val="0"/>
          <w:sz w:val="16"/>
          <w:szCs w:val="16"/>
        </w:rPr>
        <w:t xml:space="preserve"> objective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is to become a pre-eminent junior gold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mining Company, securing future growth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through expansion of its existing projects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and, taking advantage of its position as a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gold producer, to become involved with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and successfully develop other carefully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selected opportunities. The Group’s business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model and strategy are described in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Strategic Report on pages 02 to 67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of the 2025 Annual Report</w:t>
      </w:r>
      <w:r>
        <w:rPr>
          <w:rFonts w:ascii="Poppins-Regular" w:hAnsi="Poppins-Regular" w:cs="Poppins-Regular"/>
          <w:kern w:val="0"/>
          <w:sz w:val="16"/>
          <w:szCs w:val="16"/>
        </w:rPr>
        <w:t>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Board continually monitors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implementation of strategy. We also have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 annual strategy session within our Board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meeting programme. In January 2026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Board held a strategy session in Brazil with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all of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the Board members also visiting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mines as part of the country visit.</w:t>
      </w:r>
    </w:p>
    <w:p w14:paraId="47E04792" w14:textId="77777777" w:rsidR="00635B3E" w:rsidRDefault="00635B3E" w:rsidP="00635B3E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11E531B1" w14:textId="2F8849C4" w:rsidR="00635B3E" w:rsidRDefault="00635B3E" w:rsidP="00635B3E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QCA Code – Principle 2 – Promote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a corporate culture that is based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on sound ethical values and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proofErr w:type="gramStart"/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behaviours</w:t>
      </w:r>
      <w:proofErr w:type="gramEnd"/>
    </w:p>
    <w:p w14:paraId="22491A1F" w14:textId="77777777" w:rsidR="00635B3E" w:rsidRDefault="00635B3E" w:rsidP="00635B3E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</w:p>
    <w:p w14:paraId="1DFE76FA" w14:textId="3472EBC0" w:rsidR="00635B3E" w:rsidRDefault="00635B3E" w:rsidP="00635B3E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The Board, through its actions and direction,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has sought to establish a corporate culture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that places the emphasis on the Group’s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and Board’s cultural priorities of social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responsibility, transparency, health 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safety, risk management and sustainability.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Group has in place a Code of Ethics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and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Conduct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and this sets out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Company’s vision, mission and values.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This code has been updated this year by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Sustainability Committee. The Code of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Conduct clearly communicates internally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ethical and integrity standards required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of </w:t>
      </w:r>
      <w:proofErr w:type="spellStart"/>
      <w:r>
        <w:rPr>
          <w:rFonts w:ascii="Poppins-Regular" w:hAnsi="Poppins-Regular" w:cs="Poppins-Regular"/>
          <w:kern w:val="0"/>
          <w:sz w:val="16"/>
          <w:szCs w:val="16"/>
        </w:rPr>
        <w:t>Serabi’s</w:t>
      </w:r>
      <w:proofErr w:type="spellEnd"/>
      <w:r>
        <w:rPr>
          <w:rFonts w:ascii="Poppins-Regular" w:hAnsi="Poppins-Regular" w:cs="Poppins-Regular"/>
          <w:kern w:val="0"/>
          <w:sz w:val="16"/>
          <w:szCs w:val="16"/>
        </w:rPr>
        <w:t xml:space="preserve"> workers, including leadership,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contractors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and consultants. It emphasises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integrity, transparency and compliance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with laws and corporate governance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best practices, including fair competition,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anti-corruption, prevention of conflicts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of interest, responsible use of Company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assets, promoting a safe, inclusive 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discrimination free workplace, prohibiting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harassment and unethical behaviour. It also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enforces strict policies on environmental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responsibility, occupational health 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safety and anti-money laundering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measures. It also incorporates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 whistleblower channel.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Board receives regular reports on staff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morale and conduct. The Non-Executive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Directors have spent time during the year at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both the Belo Horizonte head office and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mines to meet and talk to staff themselves.</w:t>
      </w:r>
    </w:p>
    <w:p w14:paraId="7F9EAF28" w14:textId="77777777" w:rsidR="00635B3E" w:rsidRDefault="00635B3E" w:rsidP="00635B3E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59CA4E7C" w14:textId="11AB6496" w:rsidR="00635B3E" w:rsidRDefault="00635B3E" w:rsidP="00635B3E">
      <w:pPr>
        <w:widowControl w:val="0"/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QCA Code – Principle 3 – Seek to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understand and meet shareholder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needs and </w:t>
      </w:r>
      <w:proofErr w:type="gramStart"/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expectations</w:t>
      </w:r>
      <w:proofErr w:type="gramEnd"/>
    </w:p>
    <w:p w14:paraId="33354277" w14:textId="77777777" w:rsidR="00635B3E" w:rsidRDefault="00635B3E" w:rsidP="00635B3E">
      <w:pPr>
        <w:widowControl w:val="0"/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</w:p>
    <w:p w14:paraId="2D545937" w14:textId="37503154" w:rsidR="00635B3E" w:rsidRDefault="00635B3E" w:rsidP="00635B3E">
      <w:pPr>
        <w:widowControl w:val="0"/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The Board is committed to providing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shareholders with clear and timely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information on </w:t>
      </w:r>
      <w:proofErr w:type="spellStart"/>
      <w:r>
        <w:rPr>
          <w:rFonts w:ascii="Poppins-Regular" w:hAnsi="Poppins-Regular" w:cs="Poppins-Regular"/>
          <w:kern w:val="0"/>
          <w:sz w:val="16"/>
          <w:szCs w:val="16"/>
        </w:rPr>
        <w:t>Serabi’s</w:t>
      </w:r>
      <w:proofErr w:type="spellEnd"/>
      <w:r>
        <w:rPr>
          <w:rFonts w:ascii="Poppins-Regular" w:hAnsi="Poppins-Regular" w:cs="Poppins-Regular"/>
          <w:kern w:val="0"/>
          <w:sz w:val="16"/>
          <w:szCs w:val="16"/>
        </w:rPr>
        <w:t xml:space="preserve"> activities,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strategy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and financial position. General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communication with shareholders is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coordinated by the Executive Directors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together with the Investor Relations 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Business Development Vice President.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Company publishes on its website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 range of information which helps current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and potential shareholders to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make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 assessment of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the Group’s position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and prospects.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Board maintains dialogue with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Company’s major institutional investors.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The Board also acknowledges that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majority of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its private investors hold their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shares via nominee shareholders and may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not be able to fully exploit their shareholder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rights effectively. Management attends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selected industry events at which they are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available to engage with private investors.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Board is kept informed of the views 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concerns of shareholders through briefings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from the Executive Directors and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Company’s brokers.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Annual General Meeting (“AGM”) is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annual opportunity for all shareholders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to meet with the Directors and to discuss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with them the Company’s business 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strategy. The notice of AGM is posted to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all shareholders at least 21 clear days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before the meeting. Separate resolutions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are proposed on all substantive issues for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each resolution. Shareholders will have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opportunity to vote for or against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or to withhold their vote. Following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meeting, the results of votes lodged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are </w:t>
      </w:r>
      <w:r>
        <w:rPr>
          <w:rFonts w:ascii="Poppins-Regular" w:hAnsi="Poppins-Regular" w:cs="Poppins-Regular"/>
          <w:kern w:val="0"/>
          <w:sz w:val="16"/>
          <w:szCs w:val="16"/>
        </w:rPr>
        <w:t>announced to the London Stock Exchange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and displayed on the Company’s website.</w:t>
      </w:r>
    </w:p>
    <w:p w14:paraId="6A6965BF" w14:textId="77777777" w:rsidR="00635B3E" w:rsidRDefault="00635B3E" w:rsidP="00635B3E">
      <w:pPr>
        <w:widowControl w:val="0"/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6BB18A30" w14:textId="6DA5D4DF" w:rsidR="00635B3E" w:rsidRDefault="00635B3E" w:rsidP="00635B3E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QCA Code – Principle 4 – Take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into account wider stakeholder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interests, including social and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environmental responsibilities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and their implications for long-term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proofErr w:type="gramStart"/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success</w:t>
      </w:r>
      <w:proofErr w:type="gramEnd"/>
    </w:p>
    <w:p w14:paraId="0CB14394" w14:textId="77777777" w:rsidR="00635B3E" w:rsidRDefault="00635B3E" w:rsidP="00635B3E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</w:p>
    <w:p w14:paraId="02D2B6A5" w14:textId="30AF6450" w:rsidR="00635B3E" w:rsidRDefault="00635B3E" w:rsidP="00635B3E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The Board recognises that the long-term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success of the Company is reliant upon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efforts of its key stakeholders.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Group has staff dedicated to ensuring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that it has active relationships with local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communities who are within the vicinity of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its operations to understand their concerns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and expectations, thereby seeking to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ensure</w:t>
      </w:r>
      <w:proofErr w:type="gramEnd"/>
    </w:p>
    <w:p w14:paraId="5C2819CE" w14:textId="4B49BE08" w:rsidR="00635B3E" w:rsidRDefault="00635B3E" w:rsidP="00BA1DDB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lastRenderedPageBreak/>
        <w:t>mutually beneficial co-operation for both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sides. The Group is subject to oversight by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a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number of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different governmental and other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bodies who directly or indirectly are involved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with the licensing and approval process of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mining operations in Brazil.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Additionally, given the nature of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Company’s business, there are other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parties who, whilst not having regulatory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power, have interest in seeing that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Company conducts its operations in a safe,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responsible,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ethical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and conscientious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manner. The Board makes all reasonable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efforts, directly or through its advisors, to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engage in and maintain active dialogue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with each of these governmental and </w:t>
      </w:r>
      <w:proofErr w:type="spellStart"/>
      <w:r>
        <w:rPr>
          <w:rFonts w:ascii="Poppins-Regular" w:hAnsi="Poppins-Regular" w:cs="Poppins-Regular"/>
          <w:kern w:val="0"/>
          <w:sz w:val="16"/>
          <w:szCs w:val="16"/>
        </w:rPr>
        <w:t>non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governmental</w:t>
      </w:r>
      <w:proofErr w:type="spellEnd"/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bodies, to ensure that any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issues faced by the Company, including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but not limited to regulations or proposed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changes to regulations, are well understood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and ensuring, to the fullest extent possible,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that the Company is in compliance with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all appropriate regulation, standards and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specific licensing obligations, including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environmental, social and safety, at all times.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Group’s community and corporate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social responsibility disclosure is provided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as part of the Environmental and Social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section on pages 31 to 67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of the 2025 Annual </w:t>
      </w:r>
      <w:proofErr w:type="gramStart"/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Report </w:t>
      </w:r>
      <w:r>
        <w:rPr>
          <w:rFonts w:ascii="Poppins-Regular" w:hAnsi="Poppins-Regular" w:cs="Poppins-Regular"/>
          <w:kern w:val="0"/>
          <w:sz w:val="16"/>
          <w:szCs w:val="16"/>
        </w:rPr>
        <w:t>.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The Group’s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engagement model with wider stakeholders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is described in the Strategic Report on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pages 11 to 14</w:t>
      </w:r>
      <w:r w:rsidR="00BA1DDB">
        <w:rPr>
          <w:rFonts w:ascii="Poppins-Regular" w:hAnsi="Poppins-Regular" w:cs="Poppins-Regular"/>
          <w:kern w:val="0"/>
          <w:sz w:val="16"/>
          <w:szCs w:val="16"/>
        </w:rPr>
        <w:t xml:space="preserve"> of the 2025 Annual Report</w:t>
      </w:r>
      <w:r>
        <w:rPr>
          <w:rFonts w:ascii="Poppins-Regular" w:hAnsi="Poppins-Regular" w:cs="Poppins-Regular"/>
          <w:kern w:val="0"/>
          <w:sz w:val="16"/>
          <w:szCs w:val="16"/>
        </w:rPr>
        <w:t>.</w:t>
      </w:r>
    </w:p>
    <w:p w14:paraId="53B9AC42" w14:textId="77777777" w:rsidR="00BA1DDB" w:rsidRDefault="00BA1DDB" w:rsidP="00BA1DDB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2AF2B44C" w14:textId="77777777" w:rsidR="00BA1DDB" w:rsidRDefault="00BA1DDB" w:rsidP="00BA1DDB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QCA Code – Principle 5 – Embed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effective risk management,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internal controls and assurance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activities, considering both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opportunities and threats,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throughout the </w:t>
      </w:r>
      <w:proofErr w:type="gramStart"/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organisation</w:t>
      </w:r>
      <w:proofErr w:type="gramEnd"/>
    </w:p>
    <w:p w14:paraId="3FC3C692" w14:textId="77777777" w:rsidR="00BA1DDB" w:rsidRDefault="00BA1DDB" w:rsidP="00BA1DDB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</w:p>
    <w:p w14:paraId="78D6265C" w14:textId="70D4D385" w:rsidR="00BA1DDB" w:rsidRDefault="00BA1DDB" w:rsidP="00BA1DDB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The Board, supported by the Audit 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Risk Committee and the Group’s senior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management, are responsible for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Group’s Risk Management framework 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ensuring that procedures are in place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and are being implemented effectively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to identify,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evaluate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and manage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significant risks faced by the Company.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During 2024 the Sustainability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Committee commissioned </w:t>
      </w:r>
      <w:proofErr w:type="spellStart"/>
      <w:r>
        <w:rPr>
          <w:rFonts w:ascii="Poppins-Regular" w:hAnsi="Poppins-Regular" w:cs="Poppins-Regular"/>
          <w:kern w:val="0"/>
          <w:sz w:val="16"/>
          <w:szCs w:val="16"/>
        </w:rPr>
        <w:t>Embellie</w:t>
      </w:r>
      <w:proofErr w:type="spellEnd"/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Advisory to undertake a review of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Group’s ESG strategy, management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systems and actions. The review’s remit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included a review of the Group’s risk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management process and framework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and provided recommendations for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both the Sustainability Committee 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Audit and Risk Committee to work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towards. The Board has reviewed this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gap analysis and has made progress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on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a number of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the recommendations.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During 2025 the Group continued to work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with </w:t>
      </w:r>
      <w:proofErr w:type="spellStart"/>
      <w:r>
        <w:rPr>
          <w:rFonts w:ascii="Poppins-Regular" w:hAnsi="Poppins-Regular" w:cs="Poppins-Regular"/>
          <w:kern w:val="0"/>
          <w:sz w:val="16"/>
          <w:szCs w:val="16"/>
        </w:rPr>
        <w:t>Embellie</w:t>
      </w:r>
      <w:proofErr w:type="spellEnd"/>
      <w:r>
        <w:rPr>
          <w:rFonts w:ascii="Poppins-Regular" w:hAnsi="Poppins-Regular" w:cs="Poppins-Regular"/>
          <w:kern w:val="0"/>
          <w:sz w:val="16"/>
          <w:szCs w:val="16"/>
        </w:rPr>
        <w:t xml:space="preserve"> Advisory who carried out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 wide scope risk assessment to build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ESG strategy for the Company. This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included a roadmap to support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continued development of sustainable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practices within the Group, mapping of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the Company’s stakeholders, updating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a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number of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the Company’s policies as well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as setting out suggestions for targets 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measuring performance against them.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Group’s risk management framework</w:t>
      </w:r>
      <w:r w:rsidR="00C77DB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is described further in the Strategic Report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on pages 19 to 30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of the 2025 Annual Report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and in the Audit and Risk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Committee Report on pages 78 to 81</w:t>
      </w:r>
      <w:r w:rsidRPr="00BA1DDB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of the 2025 Annual Report.</w:t>
      </w:r>
    </w:p>
    <w:p w14:paraId="442EC1D0" w14:textId="77777777" w:rsidR="00290696" w:rsidRDefault="00290696" w:rsidP="00BA1DDB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24B403D5" w14:textId="7CDBF329" w:rsidR="00290696" w:rsidRDefault="00290696" w:rsidP="00290696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QCA Code – Principle 6 – Establish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and maintain the board as a </w:t>
      </w:r>
      <w:proofErr w:type="spellStart"/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well functioning</w:t>
      </w:r>
      <w:proofErr w:type="spellEnd"/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balanced team led by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the </w:t>
      </w:r>
      <w:proofErr w:type="gramStart"/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chair</w:t>
      </w:r>
      <w:proofErr w:type="gramEnd"/>
    </w:p>
    <w:p w14:paraId="7EBEA24B" w14:textId="77777777" w:rsidR="00290696" w:rsidRDefault="00290696" w:rsidP="00290696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</w:p>
    <w:p w14:paraId="2903BE19" w14:textId="77777777" w:rsidR="00290696" w:rsidRDefault="00290696" w:rsidP="00290696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</w:pPr>
      <w:r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  <w:t>Board composition and independence</w:t>
      </w:r>
    </w:p>
    <w:p w14:paraId="2B444852" w14:textId="77777777" w:rsidR="00290696" w:rsidRDefault="00290696" w:rsidP="00290696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</w:pPr>
    </w:p>
    <w:p w14:paraId="1D98FAEA" w14:textId="7F0BEEB0" w:rsidR="00290696" w:rsidRDefault="00290696" w:rsidP="00290696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The Board is currently comprised of five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Directors: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the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Chief Executive Officer,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Mike Hodgson, the Chief Financial Officer,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Colm Howlin and three Non-executive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Directors (including the chair).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All of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Non-executive Directors are considered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to be independent.</w:t>
      </w:r>
    </w:p>
    <w:p w14:paraId="6EBD16F7" w14:textId="77777777" w:rsidR="00290696" w:rsidRDefault="00290696" w:rsidP="00290696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490304E8" w14:textId="5BCD3ED0" w:rsidR="00290696" w:rsidRDefault="00290696" w:rsidP="00290696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</w:pPr>
      <w:r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  <w:t>Board and Board Committee</w:t>
      </w:r>
      <w:r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  <w:t>Structure</w:t>
      </w:r>
    </w:p>
    <w:p w14:paraId="6125502E" w14:textId="77777777" w:rsidR="00290696" w:rsidRDefault="00290696" w:rsidP="00290696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</w:pPr>
    </w:p>
    <w:p w14:paraId="0FBFB2F2" w14:textId="0D9A00E9" w:rsidR="00290696" w:rsidRDefault="00290696" w:rsidP="00290696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The Board has established an Audit &amp; Risk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Committee, a Remuneration and People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Committee, a Disclosure Committee, a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Mergers and Acquisitions Committee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and a Sustainability Committee.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Board has not established a separate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Nominations Committee as it considers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that this responsibility can be currently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discharged by the Remuneration 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People Committee or, if the circumstances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so dictate, the Board as a whole.</w:t>
      </w:r>
    </w:p>
    <w:p w14:paraId="677E3A24" w14:textId="77777777" w:rsidR="00B30D8C" w:rsidRDefault="00B30D8C" w:rsidP="00290696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639263C2" w14:textId="77777777" w:rsidR="00B30D8C" w:rsidRDefault="00B30D8C" w:rsidP="00290696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549B3B78" w14:textId="77777777" w:rsidR="00B30D8C" w:rsidRDefault="00B30D8C" w:rsidP="00290696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19CED76E" w14:textId="77777777" w:rsidR="00B30D8C" w:rsidRDefault="00B30D8C" w:rsidP="00290696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2A242440" w14:textId="77777777" w:rsidR="00B30D8C" w:rsidRDefault="00B30D8C" w:rsidP="00290696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654E136B" w14:textId="77777777" w:rsidR="00B30D8C" w:rsidRDefault="00B30D8C" w:rsidP="00290696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1ADC2D67" w14:textId="77777777" w:rsidR="00B30D8C" w:rsidRDefault="00B30D8C" w:rsidP="00290696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59BC8427" w14:textId="77777777" w:rsidR="00B30D8C" w:rsidRDefault="00B30D8C" w:rsidP="00290696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5930C491" w14:textId="77777777" w:rsidR="00B30D8C" w:rsidRDefault="00B30D8C" w:rsidP="00290696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45719C0A" w14:textId="620CE78C" w:rsidR="00B30D8C" w:rsidRDefault="00B30D8C" w:rsidP="00290696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 w:rsidRPr="00B30D8C">
        <w:rPr>
          <w:rFonts w:ascii="Poppins-Regular" w:hAnsi="Poppins-Regular" w:cs="Poppins-Regular"/>
          <w:noProof/>
          <w:kern w:val="0"/>
          <w:sz w:val="16"/>
          <w:szCs w:val="16"/>
        </w:rPr>
        <w:lastRenderedPageBreak/>
        <w:drawing>
          <wp:inline distT="0" distB="0" distL="0" distR="0" wp14:anchorId="6E2F0CBF" wp14:editId="5F62881F">
            <wp:extent cx="3905250" cy="4705350"/>
            <wp:effectExtent l="0" t="0" r="0" b="0"/>
            <wp:docPr id="13067625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0ADA1" w14:textId="77777777" w:rsidR="00B30D8C" w:rsidRDefault="00B30D8C" w:rsidP="00290696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6C2CF2CE" w14:textId="77777777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0000"/>
          <w:kern w:val="0"/>
          <w:sz w:val="22"/>
          <w:szCs w:val="22"/>
        </w:rPr>
      </w:pPr>
      <w:r>
        <w:rPr>
          <w:rFonts w:ascii="LibreFranklin-SemiBold" w:hAnsi="LibreFranklin-SemiBold" w:cs="LibreFranklin-SemiBold"/>
          <w:b/>
          <w:bCs/>
          <w:color w:val="000000"/>
          <w:kern w:val="0"/>
          <w:sz w:val="22"/>
          <w:szCs w:val="22"/>
        </w:rPr>
        <w:t>Operation of the Board</w:t>
      </w:r>
    </w:p>
    <w:p w14:paraId="597C812F" w14:textId="77777777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0000"/>
          <w:kern w:val="0"/>
          <w:sz w:val="22"/>
          <w:szCs w:val="22"/>
        </w:rPr>
      </w:pPr>
    </w:p>
    <w:p w14:paraId="7708062A" w14:textId="5ABAF2D6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color w:val="000000"/>
          <w:kern w:val="0"/>
          <w:sz w:val="16"/>
          <w:szCs w:val="16"/>
        </w:rPr>
      </w:pP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The Board is responsible for the overall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management of the Group including the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formulation and approval of the Group’s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long-term objectives and strategy, the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approval of budgets, the oversight of Group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operations, the maintenance of sound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internal control and risk management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systems and the implementation of the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Group’s strategy, </w:t>
      </w:r>
      <w:proofErr w:type="gramStart"/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policies</w:t>
      </w:r>
      <w:proofErr w:type="gramEnd"/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and plans. The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Chief Executive Officer (“CEO”), the Chief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Financial Officer (“CFO”) and the Chief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Operating Officer (“COO”) are responsible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for the daily operation of the </w:t>
      </w:r>
      <w:proofErr w:type="gramStart"/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Group</w:t>
      </w:r>
      <w:proofErr w:type="gramEnd"/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and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they involve other levels of management in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the day-to-day operations as appropriate.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The CEO, CFO and COO are also responsible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for making recommendations to the Board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regarding short and medium-term budgets,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targets and overall objectives and strategies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for the Group. During the year the formal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schedule of matters specifically reserved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for decision by the Board was updated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and includes:</w:t>
      </w:r>
    </w:p>
    <w:p w14:paraId="745B4BB6" w14:textId="77777777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color w:val="000000"/>
          <w:kern w:val="0"/>
          <w:sz w:val="16"/>
          <w:szCs w:val="16"/>
        </w:rPr>
      </w:pPr>
    </w:p>
    <w:p w14:paraId="2A4DF1FF" w14:textId="2A92E7E2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color w:val="000000"/>
          <w:kern w:val="0"/>
          <w:sz w:val="16"/>
          <w:szCs w:val="16"/>
        </w:rPr>
      </w:pPr>
      <w:r>
        <w:rPr>
          <w:rFonts w:ascii="Poppins-Regular" w:hAnsi="Poppins-Regular" w:cs="Poppins-Regular"/>
          <w:color w:val="A67C08"/>
          <w:kern w:val="0"/>
          <w:sz w:val="16"/>
          <w:szCs w:val="16"/>
        </w:rPr>
        <w:t xml:space="preserve">•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setting the Company’s purpose, values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and long-term objectives and </w:t>
      </w:r>
      <w:proofErr w:type="gramStart"/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strategy;</w:t>
      </w:r>
      <w:proofErr w:type="gramEnd"/>
    </w:p>
    <w:p w14:paraId="0B497D56" w14:textId="77777777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color w:val="000000"/>
          <w:kern w:val="0"/>
          <w:sz w:val="16"/>
          <w:szCs w:val="16"/>
        </w:rPr>
      </w:pPr>
      <w:r>
        <w:rPr>
          <w:rFonts w:ascii="Poppins-Regular" w:hAnsi="Poppins-Regular" w:cs="Poppins-Regular"/>
          <w:color w:val="A67C08"/>
          <w:kern w:val="0"/>
          <w:sz w:val="16"/>
          <w:szCs w:val="16"/>
        </w:rPr>
        <w:t xml:space="preserve">•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approval of the annual </w:t>
      </w:r>
      <w:proofErr w:type="gramStart"/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budget;</w:t>
      </w:r>
      <w:proofErr w:type="gramEnd"/>
    </w:p>
    <w:p w14:paraId="1FEAD092" w14:textId="21367744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color w:val="000000"/>
          <w:kern w:val="0"/>
          <w:sz w:val="16"/>
          <w:szCs w:val="16"/>
        </w:rPr>
      </w:pPr>
      <w:r>
        <w:rPr>
          <w:rFonts w:ascii="Poppins-Regular" w:hAnsi="Poppins-Regular" w:cs="Poppins-Regular"/>
          <w:color w:val="A67C08"/>
          <w:kern w:val="0"/>
          <w:sz w:val="16"/>
          <w:szCs w:val="16"/>
        </w:rPr>
        <w:t xml:space="preserve">•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approval of material capital expenditure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proofErr w:type="gramStart"/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projects;</w:t>
      </w:r>
      <w:proofErr w:type="gramEnd"/>
    </w:p>
    <w:p w14:paraId="0FB63817" w14:textId="6652BF7F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color w:val="000000"/>
          <w:kern w:val="0"/>
          <w:sz w:val="16"/>
          <w:szCs w:val="16"/>
        </w:rPr>
      </w:pPr>
      <w:r>
        <w:rPr>
          <w:rFonts w:ascii="Poppins-Regular" w:hAnsi="Poppins-Regular" w:cs="Poppins-Regular"/>
          <w:color w:val="A67C08"/>
          <w:kern w:val="0"/>
          <w:sz w:val="16"/>
          <w:szCs w:val="16"/>
        </w:rPr>
        <w:t xml:space="preserve">•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any extension of the Group’s activities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into new business or geographic areas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outside the UK or </w:t>
      </w:r>
      <w:proofErr w:type="gramStart"/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Brazil;</w:t>
      </w:r>
      <w:proofErr w:type="gramEnd"/>
    </w:p>
    <w:p w14:paraId="55F2A6E2" w14:textId="6EBE7A79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color w:val="000000"/>
          <w:kern w:val="0"/>
          <w:sz w:val="16"/>
          <w:szCs w:val="16"/>
        </w:rPr>
      </w:pPr>
      <w:r>
        <w:rPr>
          <w:rFonts w:ascii="Poppins-Regular" w:hAnsi="Poppins-Regular" w:cs="Poppins-Regular"/>
          <w:color w:val="A67C08"/>
          <w:kern w:val="0"/>
          <w:sz w:val="16"/>
          <w:szCs w:val="16"/>
        </w:rPr>
        <w:t xml:space="preserve">•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changes relating to the Group’s capital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structure and major changes relating to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the Group’s corporate structure</w:t>
      </w:r>
    </w:p>
    <w:p w14:paraId="58F90172" w14:textId="77777777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color w:val="000000"/>
          <w:kern w:val="0"/>
          <w:sz w:val="16"/>
          <w:szCs w:val="16"/>
        </w:rPr>
      </w:pPr>
      <w:r>
        <w:rPr>
          <w:rFonts w:ascii="Poppins-Regular" w:hAnsi="Poppins-Regular" w:cs="Poppins-Regular"/>
          <w:color w:val="A67C08"/>
          <w:kern w:val="0"/>
          <w:sz w:val="16"/>
          <w:szCs w:val="16"/>
        </w:rPr>
        <w:t xml:space="preserve">•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approval of </w:t>
      </w:r>
      <w:proofErr w:type="gramStart"/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acquisitions;</w:t>
      </w:r>
      <w:proofErr w:type="gramEnd"/>
    </w:p>
    <w:p w14:paraId="35F3A550" w14:textId="2377E49E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color w:val="000000"/>
          <w:kern w:val="0"/>
          <w:sz w:val="16"/>
          <w:szCs w:val="16"/>
        </w:rPr>
      </w:pPr>
      <w:r>
        <w:rPr>
          <w:rFonts w:ascii="Poppins-Regular" w:hAnsi="Poppins-Regular" w:cs="Poppins-Regular"/>
          <w:color w:val="A67C08"/>
          <w:kern w:val="0"/>
          <w:sz w:val="16"/>
          <w:szCs w:val="16"/>
        </w:rPr>
        <w:t xml:space="preserve">•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approval of quarterly financial reports,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trading updates, the half-yearly reports,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announcement of year-end results and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the Annual Report and </w:t>
      </w:r>
      <w:proofErr w:type="gramStart"/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Accounts;</w:t>
      </w:r>
      <w:proofErr w:type="gramEnd"/>
    </w:p>
    <w:p w14:paraId="7A506383" w14:textId="3BBF1E0F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color w:val="000000"/>
          <w:kern w:val="0"/>
          <w:sz w:val="16"/>
          <w:szCs w:val="16"/>
        </w:rPr>
      </w:pPr>
      <w:r>
        <w:rPr>
          <w:rFonts w:ascii="Poppins-Regular" w:hAnsi="Poppins-Regular" w:cs="Poppins-Regular"/>
          <w:color w:val="A67C08"/>
          <w:kern w:val="0"/>
          <w:sz w:val="16"/>
          <w:szCs w:val="16"/>
        </w:rPr>
        <w:t xml:space="preserve">•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internal control and risk management;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and</w:t>
      </w:r>
    </w:p>
    <w:p w14:paraId="59AE3627" w14:textId="2DF0F09B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color w:val="000000"/>
          <w:kern w:val="0"/>
          <w:sz w:val="16"/>
          <w:szCs w:val="16"/>
        </w:rPr>
      </w:pPr>
      <w:r>
        <w:rPr>
          <w:rFonts w:ascii="Poppins-Regular" w:hAnsi="Poppins-Regular" w:cs="Poppins-Regular"/>
          <w:color w:val="A67C08"/>
          <w:kern w:val="0"/>
          <w:sz w:val="16"/>
          <w:szCs w:val="16"/>
        </w:rPr>
        <w:t xml:space="preserve">•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material contracts, </w:t>
      </w:r>
      <w:proofErr w:type="gramStart"/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expenditure</w:t>
      </w:r>
      <w:proofErr w:type="gramEnd"/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and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color w:val="000000"/>
          <w:kern w:val="0"/>
          <w:sz w:val="16"/>
          <w:szCs w:val="16"/>
        </w:rPr>
        <w:t>Group borrowings.</w:t>
      </w:r>
    </w:p>
    <w:p w14:paraId="50D38D68" w14:textId="77777777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color w:val="000000"/>
          <w:kern w:val="0"/>
          <w:sz w:val="16"/>
          <w:szCs w:val="16"/>
        </w:rPr>
      </w:pPr>
    </w:p>
    <w:p w14:paraId="0D582C44" w14:textId="43379D3B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The Board holds regular, scheduled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meetings throughout the year to review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Group’s financial and operational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performance and to consider any other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matters as appropriate, including risk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management and </w:t>
      </w:r>
      <w:r>
        <w:rPr>
          <w:rFonts w:ascii="Poppins-Regular" w:hAnsi="Poppins-Regular" w:cs="Poppins-Regular"/>
          <w:kern w:val="0"/>
          <w:sz w:val="16"/>
          <w:szCs w:val="16"/>
        </w:rPr>
        <w:lastRenderedPageBreak/>
        <w:t>shareholder feedback.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Board meeting timetable is based on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financial and reporting timetable. During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year there were nine scheduled Boar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d </w:t>
      </w:r>
      <w:r>
        <w:rPr>
          <w:rFonts w:ascii="Poppins-Regular" w:hAnsi="Poppins-Regular" w:cs="Poppins-Regular"/>
          <w:kern w:val="0"/>
          <w:sz w:val="16"/>
          <w:szCs w:val="16"/>
        </w:rPr>
        <w:t>meetings. There were also further ad-hoc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Board meetings called at short notice to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deal with transactional items.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All of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Directors receive comprehensive Board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packs in advance of Board and Committee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meetings. A Board portal is used as a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repository for Board and Committee papers.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This provides a confidential and efficient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mechanism for the distribution of Board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papers in a timely manner.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Given the geographical distribution of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Directors,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a number of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the scheduled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Board and Committee meetings are held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online but meetings are also held in person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whenever possible. During the year one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Board meeting was held in Brazil with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rest of the face-to-face meetings being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held in London. All Directors have access to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advice and services of the Company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Secretary, who is responsible for ensuring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that the Board procedures are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followed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that applicable rules and regulations are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complied with. In addition, procedures are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in place to enable the Directors to obtain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independent professional advice in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furtherance of their duties, as required.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  </w:t>
      </w:r>
      <w:r>
        <w:rPr>
          <w:rFonts w:ascii="Poppins-Regular" w:hAnsi="Poppins-Regular" w:cs="Poppins-Regular"/>
          <w:kern w:val="0"/>
          <w:sz w:val="16"/>
          <w:szCs w:val="16"/>
        </w:rPr>
        <w:t>A record of the number of meetings of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Board during the year and the attendance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by each of the Directors is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provided</w:t>
      </w:r>
      <w:proofErr w:type="gramEnd"/>
    </w:p>
    <w:p w14:paraId="03E69BCB" w14:textId="0AA6EEF1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as follows:</w:t>
      </w:r>
    </w:p>
    <w:p w14:paraId="222848BC" w14:textId="77777777" w:rsidR="00B30D8C" w:rsidRDefault="00B30D8C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color w:val="000000"/>
          <w:kern w:val="0"/>
          <w:sz w:val="16"/>
          <w:szCs w:val="16"/>
        </w:rPr>
      </w:pPr>
    </w:p>
    <w:p w14:paraId="5556F833" w14:textId="74B34235" w:rsidR="00B30D8C" w:rsidRDefault="00A30FD9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 w:rsidRPr="00A30FD9">
        <w:rPr>
          <w:rFonts w:ascii="Poppins-Regular" w:hAnsi="Poppins-Regular" w:cs="Poppins-Regular"/>
          <w:noProof/>
          <w:kern w:val="0"/>
          <w:sz w:val="16"/>
          <w:szCs w:val="16"/>
        </w:rPr>
        <w:drawing>
          <wp:inline distT="0" distB="0" distL="0" distR="0" wp14:anchorId="557E6057" wp14:editId="2FC00602">
            <wp:extent cx="3933825" cy="4581525"/>
            <wp:effectExtent l="0" t="0" r="9525" b="9525"/>
            <wp:docPr id="3076128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CA896" w14:textId="77777777" w:rsidR="00A30FD9" w:rsidRDefault="00A30FD9" w:rsidP="00B30D8C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3795F118" w14:textId="77777777" w:rsidR="00A30FD9" w:rsidRDefault="00A30FD9" w:rsidP="00A30FD9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Conflicts of Interest</w:t>
      </w:r>
    </w:p>
    <w:p w14:paraId="35A0CD91" w14:textId="77777777" w:rsidR="00A30FD9" w:rsidRDefault="00A30FD9" w:rsidP="00A30FD9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</w:p>
    <w:p w14:paraId="16BAFC91" w14:textId="1CA3A95E" w:rsidR="00A30FD9" w:rsidRDefault="00A30FD9" w:rsidP="00A30FD9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The Board is satisfied that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, as a whole, it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is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able to exercise independent judgement.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Articles of Association of the Company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restrict the role of the Directors in any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situation where there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is considered to be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 conflict of interest and requires such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conflicted Director(s) to abstain from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voting and participation in any meeting or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voting where the matter giving rise to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conflict is to be considered. The Company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Secretary keeps a register of conflicts of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interest. The register sets out the situations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where each Director’s interest may conflict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with those of the Company (situational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conflicts). The register is considered 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reviewed at each Board meeting so that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Board may consider and authorise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any new situational conflicts identified. At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beginning of each meeting, the Chair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reminds the Directors of their duties under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sections 175, 177 and 182 of the Companies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Act 2006 which relate to the disclosure of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any conflicts of interest prior to any matter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that may be discussed by the Board.</w:t>
      </w:r>
    </w:p>
    <w:p w14:paraId="422FD6C6" w14:textId="77777777" w:rsidR="001F5C3D" w:rsidRDefault="001F5C3D" w:rsidP="00A30FD9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54097787" w14:textId="1B831471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lastRenderedPageBreak/>
        <w:t>QCA Code – Principle 7 – Maintain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appropriate governance structures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and ensure that individually and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collectively the Directors have the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necessary up-to-date experience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and skills and </w:t>
      </w:r>
      <w:proofErr w:type="gramStart"/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capabilities</w:t>
      </w:r>
      <w:proofErr w:type="gramEnd"/>
    </w:p>
    <w:p w14:paraId="288B249A" w14:textId="77777777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</w:p>
    <w:p w14:paraId="3B5DB472" w14:textId="66A20CC8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As a publicly owned, junior gold mining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Company, the Board needs to represent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 wide range of skills and competencies.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The </w:t>
      </w:r>
      <w:proofErr w:type="spellStart"/>
      <w:r>
        <w:rPr>
          <w:rFonts w:ascii="Poppins-Regular" w:hAnsi="Poppins-Regular" w:cs="Poppins-Regular"/>
          <w:kern w:val="0"/>
          <w:sz w:val="16"/>
          <w:szCs w:val="16"/>
        </w:rPr>
        <w:t>Serabi</w:t>
      </w:r>
      <w:proofErr w:type="spellEnd"/>
      <w:r>
        <w:rPr>
          <w:rFonts w:ascii="Poppins-Regular" w:hAnsi="Poppins-Regular" w:cs="Poppins-Regular"/>
          <w:kern w:val="0"/>
          <w:sz w:val="16"/>
          <w:szCs w:val="16"/>
        </w:rPr>
        <w:t xml:space="preserve"> Board includes Directors with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technical mining and geological expertise,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financial backgrounds, a legal background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specialising in the natural resources sector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in Brazil and investment banking 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corporate finance experience. Biographical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details of the Directors, including relevant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experiences are provided on page 70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of the 2025 Annual Report</w:t>
      </w:r>
      <w:r>
        <w:rPr>
          <w:rFonts w:ascii="Poppins-Regular" w:hAnsi="Poppins-Regular" w:cs="Poppins-Regular"/>
          <w:kern w:val="0"/>
          <w:sz w:val="16"/>
          <w:szCs w:val="16"/>
        </w:rPr>
        <w:t>.</w:t>
      </w:r>
    </w:p>
    <w:p w14:paraId="048F262B" w14:textId="77777777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3D659E7D" w14:textId="24C00C73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Although memberships of the Board’s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Committees have changed, the Group’s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governance structure has not changed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during the year and is set out in the diagram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under Principle 6.</w:t>
      </w:r>
    </w:p>
    <w:p w14:paraId="02BBD8C0" w14:textId="77777777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7E7E0357" w14:textId="77777777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</w:pPr>
      <w:r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  <w:t>Training and Development</w:t>
      </w:r>
    </w:p>
    <w:p w14:paraId="7169A01D" w14:textId="3AB94DD9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Directors are encouraged to continue their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ongoing professional development. During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year the Directors also received update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training on Directors’ duties and the AIM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Rules from Beaumont Cornish Limited,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Company’s Nominated Adviser (“Nomad”).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Company Secretary provides updates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on governance and regulatory matters at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each Board meeting.</w:t>
      </w:r>
    </w:p>
    <w:p w14:paraId="104011F0" w14:textId="77777777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7C307058" w14:textId="77777777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</w:pPr>
      <w:r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  <w:t>Induction</w:t>
      </w:r>
    </w:p>
    <w:p w14:paraId="6BE75F49" w14:textId="5D65D362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On joining the Board, Directors receive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 induction programme including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meetings with members of the Board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and senior management, access to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Board and Committee papers, minutes,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Company procedures and policies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and meetings with relevant external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advisers including the Nomad.</w:t>
      </w:r>
    </w:p>
    <w:p w14:paraId="7BAF33E1" w14:textId="77777777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263F55C1" w14:textId="77777777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</w:pPr>
      <w:r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  <w:t>Time Commitment</w:t>
      </w:r>
    </w:p>
    <w:p w14:paraId="0E4180A1" w14:textId="00B7A0B7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All Directors pre-clear any proposed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appointments to listed Company boards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with the Board, prior to committing to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them. The Non-executive Directors are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required, by their letters of appointment,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to devote as much of their time,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attention,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ability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and skills as are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reasonably required for the performance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of their duties. This is anticipated as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 minimum of one day a month.</w:t>
      </w:r>
    </w:p>
    <w:p w14:paraId="6EE4E916" w14:textId="77777777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01F05265" w14:textId="77777777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</w:pPr>
      <w:r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  <w:t>Advice</w:t>
      </w:r>
    </w:p>
    <w:p w14:paraId="68403D5F" w14:textId="07D850BF" w:rsidR="001F5C3D" w:rsidRDefault="001F5C3D" w:rsidP="001F5C3D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The Board has access to Travers Smith LLP,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as UK legal advisers to the Company, to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Peterson McVicar LLP as legal advisers in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Canada and to Beaumont Cornish Limited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as Nominated Adviser.</w:t>
      </w:r>
    </w:p>
    <w:p w14:paraId="26FBCAF8" w14:textId="77777777" w:rsidR="009C739E" w:rsidRDefault="009C739E" w:rsidP="001F5C3D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682FCF04" w14:textId="3B4FA903" w:rsidR="009C739E" w:rsidRDefault="009C739E" w:rsidP="009C739E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QCA Code – Principle 8 – Evaluate Board performance based on clear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and relevant objectives, seeking continuous </w:t>
      </w:r>
      <w:proofErr w:type="gramStart"/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improvement</w:t>
      </w:r>
      <w:proofErr w:type="gramEnd"/>
    </w:p>
    <w:p w14:paraId="61FC795A" w14:textId="77777777" w:rsidR="009C739E" w:rsidRDefault="009C739E" w:rsidP="009C739E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</w:p>
    <w:p w14:paraId="7C0CB303" w14:textId="7D19DDFC" w:rsidR="009C739E" w:rsidRDefault="009C739E" w:rsidP="009C739E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The Board understands the importance of assessing the effectiveness and contributions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of the Board as a whole and its governance structure.</w:t>
      </w:r>
    </w:p>
    <w:p w14:paraId="36C25901" w14:textId="77777777" w:rsidR="009C739E" w:rsidRDefault="009C739E" w:rsidP="009C739E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0E3C8157" w14:textId="77777777" w:rsidR="009C739E" w:rsidRDefault="009C739E" w:rsidP="009C739E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</w:pPr>
      <w:r>
        <w:rPr>
          <w:rFonts w:ascii="LibreFranklin-SemiBold" w:hAnsi="LibreFranklin-SemiBold" w:cs="LibreFranklin-SemiBold"/>
          <w:b/>
          <w:bCs/>
          <w:kern w:val="0"/>
          <w:sz w:val="20"/>
          <w:szCs w:val="20"/>
        </w:rPr>
        <w:t>Board Evaluation</w:t>
      </w:r>
    </w:p>
    <w:p w14:paraId="1BB8D4FE" w14:textId="2E7BCF42" w:rsidR="009C739E" w:rsidRDefault="009C739E" w:rsidP="009C739E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During 2024 an external evaluation of the Board was carried out. For 2025 an internal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questionnaire-based evaluation was carried out to monitor progress of the 2024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recommendations.</w:t>
      </w:r>
    </w:p>
    <w:p w14:paraId="2791559D" w14:textId="77777777" w:rsidR="009C739E" w:rsidRDefault="009C739E" w:rsidP="009C739E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2123D25B" w14:textId="5BF1D53B" w:rsidR="009C739E" w:rsidRDefault="009C739E" w:rsidP="009C739E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 w:rsidRPr="009C739E">
        <w:rPr>
          <w:rFonts w:ascii="Poppins-Regular" w:hAnsi="Poppins-Regular" w:cs="Poppins-Regular"/>
          <w:noProof/>
          <w:kern w:val="0"/>
          <w:sz w:val="16"/>
          <w:szCs w:val="16"/>
        </w:rPr>
        <w:lastRenderedPageBreak/>
        <w:drawing>
          <wp:inline distT="0" distB="0" distL="0" distR="0" wp14:anchorId="054EA6A6" wp14:editId="1B92707B">
            <wp:extent cx="3781425" cy="3629025"/>
            <wp:effectExtent l="0" t="0" r="9525" b="9525"/>
            <wp:docPr id="9724974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C995" w14:textId="77777777" w:rsidR="009C739E" w:rsidRDefault="009C739E" w:rsidP="009C739E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5DA0F1B4" w14:textId="77777777" w:rsidR="009C739E" w:rsidRDefault="009C739E" w:rsidP="009C739E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QCA Code – Principle 9 – Establish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a remuneration policy which is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supportive of long-term value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creation and the Company’s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purpose, strategy and </w:t>
      </w:r>
      <w:proofErr w:type="gramStart"/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culture</w:t>
      </w:r>
      <w:proofErr w:type="gramEnd"/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</w:p>
    <w:p w14:paraId="0AE69289" w14:textId="77777777" w:rsidR="009C739E" w:rsidRDefault="009C739E" w:rsidP="009C739E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</w:p>
    <w:p w14:paraId="3DB1DF4D" w14:textId="758C19DC" w:rsidR="009C739E" w:rsidRDefault="009C739E" w:rsidP="009C739E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Details of the Company’s Remuneration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Policy and how it was implemented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during FY25 are set out in the Directors’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Remuneration Report on pages 89 to 93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in the 2025 Annual Report</w:t>
      </w:r>
      <w:r>
        <w:rPr>
          <w:rFonts w:ascii="Poppins-Regular" w:hAnsi="Poppins-Regular" w:cs="Poppins-Regular"/>
          <w:kern w:val="0"/>
          <w:sz w:val="16"/>
          <w:szCs w:val="16"/>
        </w:rPr>
        <w:t>.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During the year the Remuneration and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People Committee has reviewed the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Remuneration Policy with the assistance of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 remuneration consultant to ensure that it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remains fit for purpose and aligns with our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strategic aims. The Remuneration Policy for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Executive Directors includes a base salary,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annual bonus which is linked to operational,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financial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and strategic targets and </w:t>
      </w:r>
      <w:r>
        <w:rPr>
          <w:rFonts w:ascii="Poppins-Regular" w:hAnsi="Poppins-Regular" w:cs="Poppins-Regular"/>
          <w:kern w:val="0"/>
          <w:sz w:val="16"/>
          <w:szCs w:val="16"/>
        </w:rPr>
        <w:t>share based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incentive arrangements, which are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designed to drive sustained long-term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performance that supports the creation of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shareholder value. A minimum Shareholding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Policy has been added to the Remuneration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Policy. The Remuneration Policy for Nonexecutive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Directors entails a base fee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and additional fees for Board Committee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membership and or Board Committee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chairmanship. In accordance with its terms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of reference, the Remuneration and People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Committee is responsible for providing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 objective review and oversight of the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Group’s remuneration and people policies,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frameworks and practices and outcomes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to ensure they support the Group’s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purpose and the effective implementation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of strategy and enable the recruitment,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motivation,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reward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and retention of talent,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particularly at Board and senior executive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levels. The Remuneration Policy and the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Remuneration Report 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>was put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to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shareholders for an advisory vote at the</w:t>
      </w:r>
      <w:r w:rsidR="00BB1D90"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2026 AGM.</w:t>
      </w:r>
    </w:p>
    <w:p w14:paraId="2DE3F821" w14:textId="77777777" w:rsidR="00BB1D90" w:rsidRDefault="00BB1D90" w:rsidP="009C739E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</w:p>
    <w:p w14:paraId="27B59CB4" w14:textId="3B470DDF" w:rsidR="00BB1D90" w:rsidRDefault="00BB1D90" w:rsidP="00BB1D90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QCA Code – Principle 10 –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Communicate how the Company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is governed and is performing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by maintaining a dialogue with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shareholders and other key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 xml:space="preserve"> </w:t>
      </w:r>
      <w:proofErr w:type="gramStart"/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stakeholder</w:t>
      </w:r>
      <w:r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  <w:t>s</w:t>
      </w:r>
      <w:proofErr w:type="gramEnd"/>
    </w:p>
    <w:p w14:paraId="0C569BC9" w14:textId="77777777" w:rsidR="00BB1D90" w:rsidRDefault="00BB1D90" w:rsidP="00BB1D90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kern w:val="0"/>
          <w:sz w:val="22"/>
          <w:szCs w:val="22"/>
        </w:rPr>
      </w:pPr>
    </w:p>
    <w:p w14:paraId="71683E5E" w14:textId="41B1845A" w:rsidR="00BB1D90" w:rsidRPr="00BA1DDB" w:rsidRDefault="00BB1D90" w:rsidP="00BB1D90">
      <w:pPr>
        <w:autoSpaceDE w:val="0"/>
        <w:autoSpaceDN w:val="0"/>
        <w:adjustRightInd w:val="0"/>
        <w:spacing w:after="0" w:line="240" w:lineRule="auto"/>
        <w:rPr>
          <w:rFonts w:ascii="Poppins-Regular" w:hAnsi="Poppins-Regular" w:cs="Poppins-Regular"/>
          <w:kern w:val="0"/>
          <w:sz w:val="16"/>
          <w:szCs w:val="16"/>
        </w:rPr>
      </w:pPr>
      <w:r>
        <w:rPr>
          <w:rFonts w:ascii="Poppins-Regular" w:hAnsi="Poppins-Regular" w:cs="Poppins-Regular"/>
          <w:kern w:val="0"/>
          <w:sz w:val="16"/>
          <w:szCs w:val="16"/>
        </w:rPr>
        <w:t>The Board’s approach to engaging with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shareholders and other stakeholders is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described throughout the Annual Report, </w:t>
      </w:r>
      <w:proofErr w:type="gramStart"/>
      <w:r>
        <w:rPr>
          <w:rFonts w:ascii="Poppins-Regular" w:hAnsi="Poppins-Regular" w:cs="Poppins-Regular"/>
          <w:kern w:val="0"/>
          <w:sz w:val="16"/>
          <w:szCs w:val="16"/>
        </w:rPr>
        <w:t>in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particular in</w:t>
      </w:r>
      <w:proofErr w:type="gramEnd"/>
      <w:r>
        <w:rPr>
          <w:rFonts w:ascii="Poppins-Regular" w:hAnsi="Poppins-Regular" w:cs="Poppins-Regular"/>
          <w:kern w:val="0"/>
          <w:sz w:val="16"/>
          <w:szCs w:val="16"/>
        </w:rPr>
        <w:t xml:space="preserve"> the Our Stakeholders section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and Section 172 statement on pages 14 to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15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on the 2025 Annual Report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, the ESG review on pages 31 to 67 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of the 2025 Annual Report </w:t>
      </w:r>
      <w:r>
        <w:rPr>
          <w:rFonts w:ascii="Poppins-Regular" w:hAnsi="Poppins-Regular" w:cs="Poppins-Regular"/>
          <w:kern w:val="0"/>
          <w:sz w:val="16"/>
          <w:szCs w:val="16"/>
        </w:rPr>
        <w:t>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disclosures under Principles 3 and 4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of the QCA Code. The Board endeavours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to balance the needs and requirements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of all stakeholders which, in addition to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Company’s shareholders, include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Group’s employees, the communities in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areas where it operates, government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agencies and the Group’s suppliers and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customers, all of whom have a vested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interest in the long-term success of the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Group. The Board recognises that balancing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the needs and expectations of all these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stakeholders is important and endeavours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to engage with these stakeholders on a</w:t>
      </w:r>
      <w:r>
        <w:rPr>
          <w:rFonts w:ascii="Poppins-Regular" w:hAnsi="Poppins-Regular" w:cs="Poppins-Regular"/>
          <w:kern w:val="0"/>
          <w:sz w:val="16"/>
          <w:szCs w:val="16"/>
        </w:rPr>
        <w:t xml:space="preserve"> </w:t>
      </w:r>
      <w:r>
        <w:rPr>
          <w:rFonts w:ascii="Poppins-Regular" w:hAnsi="Poppins-Regular" w:cs="Poppins-Regular"/>
          <w:kern w:val="0"/>
          <w:sz w:val="16"/>
          <w:szCs w:val="16"/>
        </w:rPr>
        <w:t>regular basis.</w:t>
      </w:r>
    </w:p>
    <w:sectPr w:rsidR="00BB1D90" w:rsidRPr="00BA1D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reFranklin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ppins-Regular">
    <w:altName w:val="Poppi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3E"/>
    <w:rsid w:val="001F5C3D"/>
    <w:rsid w:val="00290696"/>
    <w:rsid w:val="00635B3E"/>
    <w:rsid w:val="009C739E"/>
    <w:rsid w:val="00A30FD9"/>
    <w:rsid w:val="00B30D8C"/>
    <w:rsid w:val="00BA1DDB"/>
    <w:rsid w:val="00BB1D90"/>
    <w:rsid w:val="00C7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64BA2"/>
  <w15:chartTrackingRefBased/>
  <w15:docId w15:val="{5E11A5D1-E32F-411B-9639-519B9F79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5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B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B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B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B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B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B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5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B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5B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5B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B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B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2645</Words>
  <Characters>15080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Kerin Williams</dc:creator>
  <cp:keywords/>
  <dc:description/>
  <cp:lastModifiedBy>Kerin Williams</cp:lastModifiedBy>
  <cp:revision>5</cp:revision>
  <dcterms:created xsi:type="dcterms:W3CDTF">2026-06-29T18:00:00Z</dcterms:created>
  <dcterms:modified xsi:type="dcterms:W3CDTF">2026-06-29T18:45:00Z</dcterms:modified>
</cp:coreProperties>
</file>